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B5" w:rsidRDefault="006249B5" w:rsidP="006249B5">
      <w:pPr>
        <w:pStyle w:val="GTitle"/>
      </w:pPr>
      <w:bookmarkStart w:id="0" w:name="_Toc173461836"/>
      <w:bookmarkStart w:id="1" w:name="_Toc173462585"/>
      <w:bookmarkStart w:id="2" w:name="_Toc173462919"/>
      <w:bookmarkStart w:id="3" w:name="_Toc173462999"/>
      <w:bookmarkStart w:id="4" w:name="_Toc173463196"/>
      <w:r w:rsidRPr="00C32EA2">
        <w:rPr>
          <w:noProof/>
          <w:lang w:eastAsia="en-GB"/>
        </w:rPr>
        <w:drawing>
          <wp:inline distT="0" distB="0" distL="0" distR="0" wp14:anchorId="7A17E07C" wp14:editId="010BF6E7">
            <wp:extent cx="1546860" cy="609600"/>
            <wp:effectExtent l="0" t="0" r="0" b="0"/>
            <wp:docPr id="1" name="Picture 1" descr="Archery GB logo full set Black red Blue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ery GB logo full set Black red Blue col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:rsidR="006249B5" w:rsidRPr="00C45CE7" w:rsidRDefault="00590D8A" w:rsidP="006249B5">
      <w:pPr>
        <w:pStyle w:val="Heading1"/>
        <w:jc w:val="center"/>
      </w:pPr>
      <w:r>
        <w:t xml:space="preserve">CONFERENCE CALL </w:t>
      </w:r>
      <w:r w:rsidR="006249B5">
        <w:t>BOARD</w:t>
      </w:r>
      <w:r w:rsidR="006249B5" w:rsidRPr="00C45CE7">
        <w:t xml:space="preserve"> </w:t>
      </w:r>
      <w:r w:rsidR="006249B5">
        <w:t>MINUTES</w:t>
      </w:r>
    </w:p>
    <w:p w:rsidR="006249B5" w:rsidRPr="009003A7" w:rsidRDefault="00590D8A" w:rsidP="007D693F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20.00-21.00 Tuesday 29 March</w:t>
      </w:r>
      <w:r w:rsidR="006249B5" w:rsidRPr="009003A7">
        <w:rPr>
          <w:rFonts w:cs="Arial"/>
          <w:b/>
          <w:bCs/>
          <w:szCs w:val="22"/>
        </w:rPr>
        <w:t xml:space="preserve"> 2016</w:t>
      </w:r>
    </w:p>
    <w:p w:rsidR="006249B5" w:rsidRPr="00C45CE7" w:rsidRDefault="006249B5" w:rsidP="006249B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540"/>
        <w:gridCol w:w="864"/>
        <w:gridCol w:w="4426"/>
      </w:tblGrid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A36A7D">
              <w:rPr>
                <w:b/>
              </w:rPr>
              <w:t>Present</w:t>
            </w:r>
            <w:r w:rsidRPr="00513E99">
              <w:t>:</w:t>
            </w: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David Harrison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DH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Chairman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Neil Armitage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NA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CEO (Interim) &amp; Independent Director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Mark Davies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MD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42364A" w:rsidP="00CC236B">
            <w:pPr>
              <w:pStyle w:val="Table"/>
            </w:pPr>
            <w:r>
              <w:t xml:space="preserve">Independent Director &amp; </w:t>
            </w:r>
            <w:r w:rsidR="00070F70" w:rsidRPr="00513E99">
              <w:t>Chair Elect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Muriel Kirkwood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MK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Elected Director &amp; Interim Chair Audit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Julie Ryan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JR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Elected Director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Bob McGonigle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BM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 xml:space="preserve">Elected Director </w:t>
            </w:r>
            <w:r w:rsidRPr="00513E99">
              <w:t>&amp; Chair Nominations</w:t>
            </w:r>
            <w:r w:rsidRPr="00513E99">
              <w:tab/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Bryan Woodcock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BW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Elected Director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513E99">
              <w:t>Derrick Lovell MBE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DL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President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A36A7D" w:rsidRDefault="00070F70" w:rsidP="00CC236B">
            <w:pPr>
              <w:pStyle w:val="Table"/>
              <w:rPr>
                <w:b/>
              </w:rPr>
            </w:pPr>
            <w:r w:rsidRPr="00A36A7D">
              <w:rPr>
                <w:b/>
              </w:rPr>
              <w:t>In attendance:</w:t>
            </w: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Wendy Stead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WS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Financial Manager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A36A7D" w:rsidRDefault="00070F70" w:rsidP="00CC236B">
            <w:pPr>
              <w:pStyle w:val="Table"/>
              <w:rPr>
                <w:b/>
              </w:rPr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Sue Walford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SW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Executive Assistant to the CE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 w:rsidRPr="00A36A7D">
              <w:rPr>
                <w:b/>
              </w:rPr>
              <w:t>Apologies:</w:t>
            </w:r>
          </w:p>
        </w:tc>
        <w:tc>
          <w:tcPr>
            <w:tcW w:w="2540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Geoff Malyon</w:t>
            </w:r>
          </w:p>
        </w:tc>
        <w:tc>
          <w:tcPr>
            <w:tcW w:w="864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GM</w:t>
            </w:r>
          </w:p>
        </w:tc>
        <w:tc>
          <w:tcPr>
            <w:tcW w:w="4426" w:type="dxa"/>
            <w:shd w:val="clear" w:color="auto" w:fill="auto"/>
          </w:tcPr>
          <w:p w:rsidR="00070F70" w:rsidRPr="00513E99" w:rsidRDefault="00070F70" w:rsidP="00CC236B">
            <w:pPr>
              <w:pStyle w:val="Table"/>
            </w:pPr>
            <w:r>
              <w:t>Elected Director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A36A7D" w:rsidRDefault="00070F70" w:rsidP="00CC236B">
            <w:pPr>
              <w:pStyle w:val="Table"/>
              <w:rPr>
                <w:b/>
              </w:rPr>
            </w:pPr>
          </w:p>
        </w:tc>
        <w:tc>
          <w:tcPr>
            <w:tcW w:w="2540" w:type="dxa"/>
            <w:shd w:val="clear" w:color="auto" w:fill="auto"/>
          </w:tcPr>
          <w:p w:rsidR="00070F70" w:rsidRDefault="00070F70" w:rsidP="00CC236B">
            <w:pPr>
              <w:pStyle w:val="Table"/>
            </w:pPr>
            <w:r w:rsidRPr="00513E99">
              <w:t>Alan Willsher</w:t>
            </w:r>
          </w:p>
        </w:tc>
        <w:tc>
          <w:tcPr>
            <w:tcW w:w="864" w:type="dxa"/>
            <w:shd w:val="clear" w:color="auto" w:fill="auto"/>
          </w:tcPr>
          <w:p w:rsidR="00070F70" w:rsidRDefault="00070F70" w:rsidP="00CC236B">
            <w:pPr>
              <w:pStyle w:val="Table"/>
            </w:pPr>
            <w:r>
              <w:t>AW</w:t>
            </w:r>
          </w:p>
        </w:tc>
        <w:tc>
          <w:tcPr>
            <w:tcW w:w="4426" w:type="dxa"/>
            <w:shd w:val="clear" w:color="auto" w:fill="auto"/>
          </w:tcPr>
          <w:p w:rsidR="00070F70" w:rsidRDefault="00070F70" w:rsidP="00CC236B">
            <w:pPr>
              <w:pStyle w:val="Table"/>
            </w:pPr>
            <w:r>
              <w:t>Elected Director</w:t>
            </w:r>
          </w:p>
        </w:tc>
      </w:tr>
      <w:tr w:rsidR="00070F70" w:rsidRPr="00C45CE7" w:rsidTr="00CC236B">
        <w:tc>
          <w:tcPr>
            <w:tcW w:w="1776" w:type="dxa"/>
            <w:shd w:val="clear" w:color="auto" w:fill="auto"/>
          </w:tcPr>
          <w:p w:rsidR="00070F70" w:rsidRPr="00A36A7D" w:rsidRDefault="00070F70" w:rsidP="00CC236B">
            <w:pPr>
              <w:pStyle w:val="Table"/>
              <w:rPr>
                <w:b/>
              </w:rPr>
            </w:pPr>
          </w:p>
        </w:tc>
        <w:tc>
          <w:tcPr>
            <w:tcW w:w="2540" w:type="dxa"/>
            <w:shd w:val="clear" w:color="auto" w:fill="auto"/>
          </w:tcPr>
          <w:p w:rsidR="00070F70" w:rsidRPr="00513E99" w:rsidRDefault="0042364A" w:rsidP="00CC236B">
            <w:pPr>
              <w:pStyle w:val="Table"/>
            </w:pPr>
            <w:r>
              <w:t>Simon Cordingley</w:t>
            </w:r>
          </w:p>
        </w:tc>
        <w:tc>
          <w:tcPr>
            <w:tcW w:w="864" w:type="dxa"/>
            <w:shd w:val="clear" w:color="auto" w:fill="auto"/>
          </w:tcPr>
          <w:p w:rsidR="00070F70" w:rsidRDefault="0042364A" w:rsidP="00CC236B">
            <w:pPr>
              <w:pStyle w:val="Table"/>
            </w:pPr>
            <w:r>
              <w:t>SC</w:t>
            </w:r>
          </w:p>
        </w:tc>
        <w:tc>
          <w:tcPr>
            <w:tcW w:w="4426" w:type="dxa"/>
            <w:shd w:val="clear" w:color="auto" w:fill="auto"/>
          </w:tcPr>
          <w:p w:rsidR="00070F70" w:rsidRDefault="0042364A" w:rsidP="00CC236B">
            <w:pPr>
              <w:pStyle w:val="Table"/>
            </w:pPr>
            <w:r>
              <w:t>Co-opted Director</w:t>
            </w:r>
          </w:p>
        </w:tc>
      </w:tr>
    </w:tbl>
    <w:p w:rsidR="006249B5" w:rsidRPr="00C45CE7" w:rsidRDefault="006249B5" w:rsidP="006249B5"/>
    <w:p w:rsidR="006249B5" w:rsidRPr="0042364A" w:rsidRDefault="0042364A" w:rsidP="0042364A">
      <w:pPr>
        <w:rPr>
          <w:b/>
        </w:rPr>
      </w:pPr>
      <w:r w:rsidRPr="0042364A">
        <w:rPr>
          <w:b/>
        </w:rPr>
        <w:t xml:space="preserve">Proposal: </w:t>
      </w:r>
      <w:r w:rsidR="007D693F" w:rsidRPr="0042364A">
        <w:rPr>
          <w:b/>
        </w:rPr>
        <w:t>To approve the Financial Strategy as presented by the CEO and lodged in the Board Minutes</w:t>
      </w:r>
    </w:p>
    <w:p w:rsidR="00D65DAE" w:rsidRPr="00D65DAE" w:rsidRDefault="00D65DAE" w:rsidP="00D65DAE">
      <w:pPr>
        <w:rPr>
          <w:lang w:val="en-GB"/>
        </w:rPr>
      </w:pPr>
    </w:p>
    <w:p w:rsidR="006249B5" w:rsidRPr="00C96D33" w:rsidRDefault="006249B5" w:rsidP="00C96D33">
      <w:pPr>
        <w:rPr>
          <w:bCs/>
        </w:rPr>
      </w:pPr>
      <w:r w:rsidRPr="00C96D33">
        <w:rPr>
          <w:bCs/>
        </w:rPr>
        <w:t xml:space="preserve">DH welcomed Board Members </w:t>
      </w:r>
      <w:r w:rsidR="00070F70" w:rsidRPr="00C96D33">
        <w:rPr>
          <w:bCs/>
        </w:rPr>
        <w:t>at 8.00pm</w:t>
      </w:r>
    </w:p>
    <w:p w:rsidR="00070F70" w:rsidRDefault="009C6A7E" w:rsidP="0042364A">
      <w:pPr>
        <w:pStyle w:val="ListParagraph"/>
        <w:numPr>
          <w:ilvl w:val="0"/>
          <w:numId w:val="2"/>
        </w:numPr>
        <w:ind w:left="360"/>
      </w:pPr>
      <w:r>
        <w:t xml:space="preserve">NA </w:t>
      </w:r>
      <w:r w:rsidR="00070F70">
        <w:t xml:space="preserve">updated the Board on the Strategic Financial slides presented </w:t>
      </w:r>
      <w:r w:rsidR="00D65DAE">
        <w:t xml:space="preserve">which had not been included in the original Strategic plan </w:t>
      </w:r>
      <w:r w:rsidR="00070F70">
        <w:t xml:space="preserve">and </w:t>
      </w:r>
      <w:r>
        <w:t>asked</w:t>
      </w:r>
      <w:r w:rsidR="00070F70">
        <w:t xml:space="preserve"> </w:t>
      </w:r>
      <w:r w:rsidR="00D65DAE">
        <w:t>for approval in order that a strategy document could be ready for the AGM</w:t>
      </w:r>
      <w:r w:rsidR="00070F70">
        <w:t>.</w:t>
      </w:r>
    </w:p>
    <w:p w:rsidR="00D65DAE" w:rsidRDefault="0083317A" w:rsidP="0042364A">
      <w:pPr>
        <w:pStyle w:val="ListParagraph"/>
        <w:numPr>
          <w:ilvl w:val="0"/>
          <w:numId w:val="2"/>
        </w:numPr>
        <w:ind w:left="360"/>
      </w:pPr>
      <w:r>
        <w:t>N</w:t>
      </w:r>
      <w:r w:rsidR="009C6A7E">
        <w:t>A added that the Budget was moving to a</w:t>
      </w:r>
      <w:r w:rsidR="00D65DAE">
        <w:t xml:space="preserve"> modern</w:t>
      </w:r>
      <w:r w:rsidR="009C6A7E">
        <w:t xml:space="preserve"> ro</w:t>
      </w:r>
      <w:r w:rsidR="00552521">
        <w:t>l</w:t>
      </w:r>
      <w:r w:rsidR="009C6A7E">
        <w:t xml:space="preserve">ling budget </w:t>
      </w:r>
      <w:r w:rsidR="002554FB">
        <w:t xml:space="preserve">and required flexibility. </w:t>
      </w:r>
      <w:r w:rsidR="00D65DAE">
        <w:t>It was the intention to review on a monthly basis and be available for the Board to view on a quarterly basis.</w:t>
      </w:r>
    </w:p>
    <w:p w:rsidR="00C96D33" w:rsidRDefault="002554FB" w:rsidP="0042364A">
      <w:pPr>
        <w:pStyle w:val="ListParagraph"/>
        <w:numPr>
          <w:ilvl w:val="0"/>
          <w:numId w:val="2"/>
        </w:numPr>
        <w:ind w:left="360"/>
      </w:pPr>
      <w:r>
        <w:t xml:space="preserve">The five ‘P’s </w:t>
      </w:r>
      <w:r w:rsidR="00C96D33">
        <w:t>of the</w:t>
      </w:r>
      <w:r>
        <w:t xml:space="preserve"> plan were discussed, Progression, Places, Participation, Podium and Pounds.</w:t>
      </w:r>
    </w:p>
    <w:p w:rsidR="002554FB" w:rsidRDefault="002554FB" w:rsidP="0042364A">
      <w:pPr>
        <w:pStyle w:val="ListParagraph"/>
        <w:numPr>
          <w:ilvl w:val="0"/>
          <w:numId w:val="2"/>
        </w:numPr>
        <w:ind w:left="360"/>
      </w:pPr>
      <w:r>
        <w:t xml:space="preserve">BM felt there was work to be done on the Young People and Adult &amp; Community papers. </w:t>
      </w:r>
      <w:r w:rsidR="008E73E4">
        <w:t xml:space="preserve"> NA advised that we were waiting for the DCMS to publish their strategy, which should be in May.  Information based in their strategy would be used to refresh this area.</w:t>
      </w:r>
    </w:p>
    <w:p w:rsidR="008E73E4" w:rsidRDefault="008E73E4" w:rsidP="0042364A">
      <w:pPr>
        <w:pStyle w:val="ListParagraph"/>
        <w:numPr>
          <w:ilvl w:val="0"/>
          <w:numId w:val="2"/>
        </w:numPr>
        <w:ind w:left="360"/>
      </w:pPr>
      <w:r>
        <w:t xml:space="preserve">BM could </w:t>
      </w:r>
      <w:r w:rsidR="00825CC0">
        <w:t xml:space="preserve">not </w:t>
      </w:r>
      <w:r>
        <w:t>see information regarding costs for servicing of additional funds.  NA and WS advised that these costs were shown in different ways.</w:t>
      </w:r>
    </w:p>
    <w:p w:rsidR="00015B69" w:rsidRDefault="008E73E4" w:rsidP="0042364A">
      <w:pPr>
        <w:pStyle w:val="ListParagraph"/>
        <w:numPr>
          <w:ilvl w:val="0"/>
          <w:numId w:val="2"/>
        </w:numPr>
        <w:ind w:left="360"/>
      </w:pPr>
      <w:r>
        <w:t xml:space="preserve">BM asked for clarification of </w:t>
      </w:r>
      <w:r w:rsidR="00015B69">
        <w:t>the Places Objectives</w:t>
      </w:r>
      <w:r w:rsidR="0083317A">
        <w:t xml:space="preserve"> and this was discussed further and BM/NA agreed to discuss offline.</w:t>
      </w:r>
      <w:r w:rsidR="00015B69">
        <w:t xml:space="preserve"> </w:t>
      </w:r>
    </w:p>
    <w:p w:rsidR="00906124" w:rsidRDefault="0042364A" w:rsidP="00E61A5A">
      <w:pPr>
        <w:pStyle w:val="ListParagraph"/>
        <w:numPr>
          <w:ilvl w:val="0"/>
          <w:numId w:val="2"/>
        </w:numPr>
        <w:ind w:left="360"/>
      </w:pPr>
      <w:r>
        <w:t>MD asked, as this was a 5-</w:t>
      </w:r>
      <w:r w:rsidR="00015B69">
        <w:t xml:space="preserve">year plan what was the </w:t>
      </w:r>
      <w:r w:rsidR="00906124">
        <w:t xml:space="preserve">expected </w:t>
      </w:r>
      <w:r w:rsidR="00015B69">
        <w:t xml:space="preserve">timescale for </w:t>
      </w:r>
      <w:r w:rsidR="00906124">
        <w:t xml:space="preserve">revising the KPI’s.  </w:t>
      </w:r>
      <w:r w:rsidR="00AE69DF">
        <w:t>NA replied that t</w:t>
      </w:r>
      <w:r w:rsidR="00906124">
        <w:t>hese would be looked at on a 3 monthly basis with the Executive Team and the Board updated of successes and failures every 6 months.</w:t>
      </w:r>
    </w:p>
    <w:p w:rsidR="00906124" w:rsidRDefault="00906124" w:rsidP="0090219F">
      <w:pPr>
        <w:pStyle w:val="ListParagraph"/>
        <w:numPr>
          <w:ilvl w:val="0"/>
          <w:numId w:val="2"/>
        </w:numPr>
        <w:ind w:left="360"/>
      </w:pPr>
      <w:r>
        <w:t>MD asked for a monthly dashboard to the Board to avoid surprises.</w:t>
      </w:r>
      <w:r w:rsidR="0042364A">
        <w:t xml:space="preserve"> </w:t>
      </w:r>
      <w:r>
        <w:t>NA would work on the design for the dashboard and make it accessible for the Board to view</w:t>
      </w:r>
      <w:r w:rsidR="00AE69DF">
        <w:t xml:space="preserve"> monthly</w:t>
      </w:r>
      <w:r>
        <w:t>.</w:t>
      </w:r>
    </w:p>
    <w:p w:rsidR="00AE69DF" w:rsidRDefault="00AE69DF" w:rsidP="002F1543">
      <w:pPr>
        <w:pStyle w:val="ListParagraph"/>
        <w:numPr>
          <w:ilvl w:val="0"/>
          <w:numId w:val="2"/>
        </w:numPr>
        <w:ind w:left="360"/>
      </w:pPr>
      <w:r>
        <w:t>BM asked for the Reserves to be kept at £250K.</w:t>
      </w:r>
      <w:r w:rsidR="0042364A">
        <w:t xml:space="preserve"> </w:t>
      </w:r>
      <w:r>
        <w:t>NA was reluctant to put a number on the reserves adding that it should be a closure amount for the organisation.</w:t>
      </w:r>
    </w:p>
    <w:p w:rsidR="00AE69DF" w:rsidRDefault="00906124" w:rsidP="0072537B">
      <w:pPr>
        <w:pStyle w:val="ListParagraph"/>
        <w:numPr>
          <w:ilvl w:val="0"/>
          <w:numId w:val="2"/>
        </w:numPr>
        <w:ind w:left="360"/>
      </w:pPr>
      <w:r>
        <w:t>BM asked about the front loading (spending money first). WS advised that this may have been the case in the past but t</w:t>
      </w:r>
      <w:r w:rsidR="00AE69DF">
        <w:t>hat the cash flow presented was now truer.  DH added that NA had explored cash flow and strategic positions.</w:t>
      </w:r>
    </w:p>
    <w:p w:rsidR="00AE69DF" w:rsidRDefault="00AE69DF" w:rsidP="00C96D33"/>
    <w:p w:rsidR="00AE69DF" w:rsidRDefault="00AE69DF" w:rsidP="00C96D33">
      <w:r>
        <w:lastRenderedPageBreak/>
        <w:t>NA asked for the Board to accept the proposal.</w:t>
      </w:r>
    </w:p>
    <w:p w:rsidR="00AE69DF" w:rsidRDefault="00AE69DF" w:rsidP="00C96D33">
      <w:r>
        <w:t>MD seconded</w:t>
      </w:r>
    </w:p>
    <w:p w:rsidR="00AE69DF" w:rsidRDefault="00AE69DF" w:rsidP="00C96D33">
      <w:r>
        <w:t>Result: Carried</w:t>
      </w:r>
    </w:p>
    <w:p w:rsidR="00AE69DF" w:rsidRDefault="00AE69DF" w:rsidP="00C96D33"/>
    <w:p w:rsidR="00AE69DF" w:rsidRDefault="00AE69DF" w:rsidP="00C96D33">
      <w:r>
        <w:t>DH thanked the Executive Team for their hard work.</w:t>
      </w:r>
    </w:p>
    <w:p w:rsidR="00AE69DF" w:rsidRDefault="00AE69DF" w:rsidP="00C96D33">
      <w:r>
        <w:t xml:space="preserve">DH </w:t>
      </w:r>
      <w:r w:rsidR="00BC7603">
        <w:t xml:space="preserve">closed the </w:t>
      </w:r>
      <w:r>
        <w:t>meeting at 21.00</w:t>
      </w:r>
    </w:p>
    <w:p w:rsidR="00C96D33" w:rsidRDefault="00C96D3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/>
    <w:p w:rsidR="00BC7603" w:rsidRDefault="00BC7603" w:rsidP="00C96D33">
      <w:bookmarkStart w:id="5" w:name="_GoBack"/>
      <w:bookmarkEnd w:id="5"/>
    </w:p>
    <w:p w:rsidR="00C96D33" w:rsidRDefault="00C96D33" w:rsidP="00C96D33"/>
    <w:p w:rsidR="00C96D33" w:rsidRDefault="00C96D33" w:rsidP="00C96D33"/>
    <w:p w:rsidR="00C96D33" w:rsidRDefault="00C96D33" w:rsidP="00C96D33"/>
    <w:tbl>
      <w:tblPr>
        <w:tblW w:w="0" w:type="auto"/>
        <w:tblLook w:val="00A0" w:firstRow="1" w:lastRow="0" w:firstColumn="1" w:lastColumn="0" w:noHBand="0" w:noVBand="0"/>
      </w:tblPr>
      <w:tblGrid>
        <w:gridCol w:w="1326"/>
        <w:gridCol w:w="6579"/>
      </w:tblGrid>
      <w:tr w:rsidR="00C96D33" w:rsidRPr="008C0829" w:rsidTr="00CC236B">
        <w:tc>
          <w:tcPr>
            <w:tcW w:w="1326" w:type="dxa"/>
            <w:vAlign w:val="center"/>
          </w:tcPr>
          <w:p w:rsidR="00C96D33" w:rsidRPr="00452441" w:rsidRDefault="00C96D33" w:rsidP="00CC236B">
            <w:pPr>
              <w:jc w:val="left"/>
              <w:rPr>
                <w:noProof/>
                <w:sz w:val="4"/>
              </w:rPr>
            </w:pPr>
          </w:p>
          <w:p w:rsidR="00C96D33" w:rsidRPr="00452441" w:rsidRDefault="00C96D33" w:rsidP="00CC236B">
            <w:pPr>
              <w:jc w:val="left"/>
              <w:rPr>
                <w:sz w:val="28"/>
              </w:rPr>
            </w:pPr>
            <w:r w:rsidRPr="00A30931">
              <w:rPr>
                <w:noProof/>
                <w:lang w:val="en-GB" w:eastAsia="en-GB"/>
              </w:rPr>
              <w:drawing>
                <wp:inline distT="0" distB="0" distL="0" distR="0">
                  <wp:extent cx="701040" cy="701040"/>
                  <wp:effectExtent l="0" t="0" r="3810" b="3810"/>
                  <wp:docPr id="3" name="Picture 3" descr="Description: C:\Users\bobmcg (other work)\Desktop\M&amp;D 11-12\Brand\Conversions\Policies\GNAS logo colour - use after 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bobmcg (other work)\Desktop\M&amp;D 11-12\Brand\Conversions\Policies\GNAS logo colour - use after 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9" w:type="dxa"/>
            <w:vAlign w:val="center"/>
          </w:tcPr>
          <w:p w:rsidR="00C96D33" w:rsidRPr="00A30931" w:rsidRDefault="00C96D33" w:rsidP="00CC236B">
            <w:pPr>
              <w:pStyle w:val="Default"/>
              <w:jc w:val="center"/>
              <w:rPr>
                <w:sz w:val="22"/>
                <w:szCs w:val="22"/>
              </w:rPr>
            </w:pPr>
            <w:r w:rsidRPr="00666540">
              <w:rPr>
                <w:rFonts w:cs="Calibri"/>
                <w:sz w:val="22"/>
                <w:szCs w:val="22"/>
              </w:rPr>
              <w:t>Archery GB is the trading name of the Grand National Archery Society, a company limited by guarantee no. 1342150 Registered in England</w:t>
            </w:r>
            <w:r w:rsidRPr="00292C05"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C96D33" w:rsidRDefault="00C96D33" w:rsidP="00C96D33"/>
    <w:p w:rsidR="00C96D33" w:rsidRDefault="00C96D33" w:rsidP="00C96D33"/>
    <w:sectPr w:rsidR="00C96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6BF"/>
    <w:multiLevelType w:val="hybridMultilevel"/>
    <w:tmpl w:val="827E9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9454F"/>
    <w:multiLevelType w:val="hybridMultilevel"/>
    <w:tmpl w:val="596E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B5"/>
    <w:rsid w:val="00015B69"/>
    <w:rsid w:val="00070F70"/>
    <w:rsid w:val="00170D98"/>
    <w:rsid w:val="002554FB"/>
    <w:rsid w:val="0042364A"/>
    <w:rsid w:val="00552521"/>
    <w:rsid w:val="00590D8A"/>
    <w:rsid w:val="006249B5"/>
    <w:rsid w:val="007D693F"/>
    <w:rsid w:val="00805980"/>
    <w:rsid w:val="00825CC0"/>
    <w:rsid w:val="0083317A"/>
    <w:rsid w:val="008E73E4"/>
    <w:rsid w:val="00906124"/>
    <w:rsid w:val="009C6A7E"/>
    <w:rsid w:val="00AE69DF"/>
    <w:rsid w:val="00BC7603"/>
    <w:rsid w:val="00C96D33"/>
    <w:rsid w:val="00D65DAE"/>
    <w:rsid w:val="00E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8F72"/>
  <w15:chartTrackingRefBased/>
  <w15:docId w15:val="{5A06F855-C39C-479E-BF01-ACE0144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49B5"/>
    <w:pPr>
      <w:spacing w:after="0" w:line="240" w:lineRule="auto"/>
      <w:jc w:val="both"/>
    </w:pPr>
    <w:rPr>
      <w:rFonts w:ascii="Calibri" w:eastAsia="Times" w:hAnsi="Calibri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249B5"/>
    <w:pPr>
      <w:keepNext/>
      <w:spacing w:before="200" w:after="100"/>
      <w:jc w:val="left"/>
      <w:outlineLvl w:val="0"/>
    </w:pPr>
    <w:rPr>
      <w:rFonts w:ascii="Cambria" w:hAnsi="Cambria"/>
      <w:b/>
      <w:bCs/>
      <w:color w:val="0066FF"/>
      <w:sz w:val="24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9B5"/>
    <w:rPr>
      <w:rFonts w:ascii="Cambria" w:eastAsia="Times" w:hAnsi="Cambria" w:cs="Times New Roman"/>
      <w:b/>
      <w:bCs/>
      <w:color w:val="0066FF"/>
      <w:sz w:val="24"/>
      <w:szCs w:val="44"/>
    </w:rPr>
  </w:style>
  <w:style w:type="paragraph" w:customStyle="1" w:styleId="GTitle">
    <w:name w:val="GTitle"/>
    <w:basedOn w:val="Normal"/>
    <w:next w:val="Normal"/>
    <w:rsid w:val="006249B5"/>
    <w:pPr>
      <w:jc w:val="center"/>
    </w:pPr>
    <w:rPr>
      <w:b/>
      <w:sz w:val="32"/>
      <w:lang w:val="en-GB"/>
    </w:rPr>
  </w:style>
  <w:style w:type="paragraph" w:customStyle="1" w:styleId="Table">
    <w:name w:val="Table"/>
    <w:basedOn w:val="Normal"/>
    <w:link w:val="TableChar"/>
    <w:qFormat/>
    <w:rsid w:val="006249B5"/>
    <w:pPr>
      <w:ind w:left="6"/>
      <w:jc w:val="left"/>
    </w:pPr>
    <w:rPr>
      <w:lang w:val="en-GB"/>
    </w:rPr>
  </w:style>
  <w:style w:type="character" w:customStyle="1" w:styleId="TableChar">
    <w:name w:val="Table Char"/>
    <w:link w:val="Table"/>
    <w:rsid w:val="006249B5"/>
    <w:rPr>
      <w:rFonts w:ascii="Calibri" w:eastAsia="Times" w:hAnsi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70"/>
    <w:rPr>
      <w:rFonts w:ascii="Segoe UI" w:eastAsia="Times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96D33"/>
    <w:pPr>
      <w:ind w:left="720"/>
      <w:contextualSpacing/>
    </w:pPr>
  </w:style>
  <w:style w:type="paragraph" w:customStyle="1" w:styleId="Default">
    <w:name w:val="Default"/>
    <w:basedOn w:val="Normal"/>
    <w:rsid w:val="00C96D33"/>
    <w:pPr>
      <w:autoSpaceDE w:val="0"/>
      <w:autoSpaceDN w:val="0"/>
      <w:jc w:val="left"/>
    </w:pPr>
    <w:rPr>
      <w:rFonts w:eastAsia="Times New Roman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Walford</dc:creator>
  <cp:keywords/>
  <dc:description/>
  <cp:lastModifiedBy>Bob McGonigle</cp:lastModifiedBy>
  <cp:revision>6</cp:revision>
  <dcterms:created xsi:type="dcterms:W3CDTF">2016-03-30T15:26:00Z</dcterms:created>
  <dcterms:modified xsi:type="dcterms:W3CDTF">2016-03-31T06:47:00Z</dcterms:modified>
</cp:coreProperties>
</file>